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культура и финансовая грамотность</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«Экономическая культура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«Экономическая культура и финансовая грамотность»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541.96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Микроэкономика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Деньги, кредит, банки</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Инвестиционная банковская деятельность</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аудиторской деятельности</w:t>
            </w:r>
          </w:p>
          <w:p>
            <w:pPr>
              <w:jc w:val="center"/>
              <w:spacing w:after="0" w:line="240" w:lineRule="auto"/>
              <w:rPr>
                <w:sz w:val="22"/>
                <w:szCs w:val="22"/>
              </w:rPr>
            </w:pPr>
            <w:r>
              <w:rPr>
                <w:rFonts w:ascii="Times New Roman" w:hAnsi="Times New Roman" w:cs="Times New Roman"/>
                <w:color w:val="#000000"/>
                <w:sz w:val="22"/>
                <w:szCs w:val="22"/>
              </w:rPr>
              <w:t> Рынок инвестиционных продуктов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 УК-2,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16.771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557.58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533.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 разные потребительские задачи.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сегмента рынка банковских услуг, основные понятия, три основные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форм жилищного инвестирования (ипотека, жилищные кооперативы, долевое строительство). Нормативные акты, которые регулируют отношения государства, профессиональных участников рынка недвижимости и потребителя.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265.3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обеспечения: корпоративные и индивидуальные.</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pPr>
              <w:jc w:val="both"/>
              <w:spacing w:after="0" w:line="240" w:lineRule="auto"/>
              <w:rPr>
                <w:sz w:val="24"/>
                <w:szCs w:val="24"/>
              </w:rPr>
            </w:pPr>
            <w:r>
              <w:rPr>
                <w:rFonts w:ascii="Times New Roman" w:hAnsi="Times New Roman" w:cs="Times New Roman"/>
                <w:color w:val="#000000"/>
                <w:sz w:val="24"/>
                <w:szCs w:val="24"/>
              </w:rPr>
              <w:t> 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pPr>
              <w:jc w:val="both"/>
              <w:spacing w:after="0" w:line="240" w:lineRule="auto"/>
              <w:rPr>
                <w:sz w:val="24"/>
                <w:szCs w:val="24"/>
              </w:rPr>
            </w:pPr>
            <w:r>
              <w:rPr>
                <w:rFonts w:ascii="Times New Roman" w:hAnsi="Times New Roman" w:cs="Times New Roman"/>
                <w:color w:val="#000000"/>
                <w:sz w:val="24"/>
                <w:szCs w:val="24"/>
              </w:rPr>
              <w:t> 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личный бюджет и зачем его вести?</w:t>
            </w:r>
          </w:p>
          <w:p>
            <w:pPr>
              <w:jc w:val="both"/>
              <w:spacing w:after="0" w:line="240" w:lineRule="auto"/>
              <w:rPr>
                <w:sz w:val="24"/>
                <w:szCs w:val="24"/>
              </w:rPr>
            </w:pPr>
            <w:r>
              <w:rPr>
                <w:rFonts w:ascii="Times New Roman" w:hAnsi="Times New Roman" w:cs="Times New Roman"/>
                <w:color w:val="#000000"/>
                <w:sz w:val="24"/>
                <w:szCs w:val="24"/>
              </w:rPr>
              <w:t> 2. Понятие личного финансового планирования. Активы, пассивы и семейный бюджет.</w:t>
            </w:r>
          </w:p>
          <w:p>
            <w:pPr>
              <w:jc w:val="both"/>
              <w:spacing w:after="0" w:line="240" w:lineRule="auto"/>
              <w:rPr>
                <w:sz w:val="24"/>
                <w:szCs w:val="24"/>
              </w:rPr>
            </w:pPr>
            <w:r>
              <w:rPr>
                <w:rFonts w:ascii="Times New Roman" w:hAnsi="Times New Roman" w:cs="Times New Roman"/>
                <w:color w:val="#000000"/>
                <w:sz w:val="24"/>
                <w:szCs w:val="24"/>
              </w:rPr>
              <w:t> 3. Основные понятия личного бюджета.</w:t>
            </w:r>
          </w:p>
          <w:p>
            <w:pPr>
              <w:jc w:val="both"/>
              <w:spacing w:after="0" w:line="240" w:lineRule="auto"/>
              <w:rPr>
                <w:sz w:val="24"/>
                <w:szCs w:val="24"/>
              </w:rPr>
            </w:pPr>
            <w:r>
              <w:rPr>
                <w:rFonts w:ascii="Times New Roman" w:hAnsi="Times New Roman" w:cs="Times New Roman"/>
                <w:color w:val="#000000"/>
                <w:sz w:val="24"/>
                <w:szCs w:val="24"/>
              </w:rPr>
              <w:t> 3. Техника и технология ведения личного бюджета.</w:t>
            </w:r>
          </w:p>
          <w:p>
            <w:pPr>
              <w:jc w:val="both"/>
              <w:spacing w:after="0" w:line="240" w:lineRule="auto"/>
              <w:rPr>
                <w:sz w:val="24"/>
                <w:szCs w:val="24"/>
              </w:rPr>
            </w:pPr>
            <w:r>
              <w:rPr>
                <w:rFonts w:ascii="Times New Roman" w:hAnsi="Times New Roman" w:cs="Times New Roman"/>
                <w:color w:val="#000000"/>
                <w:sz w:val="24"/>
                <w:szCs w:val="24"/>
              </w:rPr>
              <w:t> 4. Финансовое планирование: как ставить цели и достигать их?</w:t>
            </w:r>
          </w:p>
          <w:p>
            <w:pPr>
              <w:jc w:val="both"/>
              <w:spacing w:after="0" w:line="240" w:lineRule="auto"/>
              <w:rPr>
                <w:sz w:val="24"/>
                <w:szCs w:val="24"/>
              </w:rPr>
            </w:pPr>
            <w:r>
              <w:rPr>
                <w:rFonts w:ascii="Times New Roman" w:hAnsi="Times New Roman" w:cs="Times New Roman"/>
                <w:color w:val="#000000"/>
                <w:sz w:val="24"/>
                <w:szCs w:val="24"/>
              </w:rPr>
              <w:t> 5. Жизненный цикл и его влияние на личный бюджет.</w:t>
            </w:r>
          </w:p>
          <w:p>
            <w:pPr>
              <w:jc w:val="both"/>
              <w:spacing w:after="0" w:line="240" w:lineRule="auto"/>
              <w:rPr>
                <w:sz w:val="24"/>
                <w:szCs w:val="24"/>
              </w:rPr>
            </w:pPr>
            <w:r>
              <w:rPr>
                <w:rFonts w:ascii="Times New Roman" w:hAnsi="Times New Roman" w:cs="Times New Roman"/>
                <w:color w:val="#000000"/>
                <w:sz w:val="24"/>
                <w:szCs w:val="24"/>
              </w:rPr>
              <w:t> 6. Доходы и финансовое планирование расходы. Этапы построения финансового плана.</w:t>
            </w:r>
          </w:p>
          <w:p>
            <w:pPr>
              <w:jc w:val="both"/>
              <w:spacing w:after="0" w:line="240" w:lineRule="auto"/>
              <w:rPr>
                <w:sz w:val="24"/>
                <w:szCs w:val="24"/>
              </w:rPr>
            </w:pPr>
            <w:r>
              <w:rPr>
                <w:rFonts w:ascii="Times New Roman" w:hAnsi="Times New Roman" w:cs="Times New Roman"/>
                <w:color w:val="#000000"/>
                <w:sz w:val="24"/>
                <w:szCs w:val="24"/>
              </w:rPr>
              <w:t> 7. Деньги и их виды. Электронные деньги.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Недвижимость как инструмент инвестирования</w:t>
            </w:r>
          </w:p>
          <w:p>
            <w:pPr>
              <w:jc w:val="both"/>
              <w:spacing w:after="0" w:line="240" w:lineRule="auto"/>
              <w:rPr>
                <w:sz w:val="24"/>
                <w:szCs w:val="24"/>
              </w:rPr>
            </w:pPr>
            <w:r>
              <w:rPr>
                <w:rFonts w:ascii="Times New Roman" w:hAnsi="Times New Roman" w:cs="Times New Roman"/>
                <w:color w:val="#000000"/>
                <w:sz w:val="24"/>
                <w:szCs w:val="24"/>
              </w:rPr>
              <w:t> 2. Инструменты сбережения и инвестирования</w:t>
            </w:r>
          </w:p>
          <w:p>
            <w:pPr>
              <w:jc w:val="both"/>
              <w:spacing w:after="0" w:line="240" w:lineRule="auto"/>
              <w:rPr>
                <w:sz w:val="24"/>
                <w:szCs w:val="24"/>
              </w:rPr>
            </w:pPr>
            <w:r>
              <w:rPr>
                <w:rFonts w:ascii="Times New Roman" w:hAnsi="Times New Roman" w:cs="Times New Roman"/>
                <w:color w:val="#000000"/>
                <w:sz w:val="24"/>
                <w:szCs w:val="24"/>
              </w:rPr>
              <w:t> 3. Превращение сбережений в инвестиции</w:t>
            </w:r>
          </w:p>
          <w:p>
            <w:pPr>
              <w:jc w:val="both"/>
              <w:spacing w:after="0" w:line="240" w:lineRule="auto"/>
              <w:rPr>
                <w:sz w:val="24"/>
                <w:szCs w:val="24"/>
              </w:rPr>
            </w:pPr>
            <w:r>
              <w:rPr>
                <w:rFonts w:ascii="Times New Roman" w:hAnsi="Times New Roman" w:cs="Times New Roman"/>
                <w:color w:val="#000000"/>
                <w:sz w:val="24"/>
                <w:szCs w:val="24"/>
              </w:rPr>
              <w:t> 4. Стратегии сбережений</w:t>
            </w:r>
          </w:p>
          <w:p>
            <w:pPr>
              <w:jc w:val="both"/>
              <w:spacing w:after="0" w:line="240" w:lineRule="auto"/>
              <w:rPr>
                <w:sz w:val="24"/>
                <w:szCs w:val="24"/>
              </w:rPr>
            </w:pPr>
            <w:r>
              <w:rPr>
                <w:rFonts w:ascii="Times New Roman" w:hAnsi="Times New Roman" w:cs="Times New Roman"/>
                <w:color w:val="#000000"/>
                <w:sz w:val="24"/>
                <w:szCs w:val="24"/>
              </w:rPr>
              <w:t> 5. Доходность основных инструментов инвестирования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страхования. Виды рисков.</w:t>
            </w:r>
          </w:p>
          <w:p>
            <w:pPr>
              <w:jc w:val="left"/>
              <w:spacing w:after="0" w:line="240" w:lineRule="auto"/>
              <w:rPr>
                <w:sz w:val="24"/>
                <w:szCs w:val="24"/>
              </w:rPr>
            </w:pPr>
            <w:r>
              <w:rPr>
                <w:rFonts w:ascii="Times New Roman" w:hAnsi="Times New Roman" w:cs="Times New Roman"/>
                <w:color w:val="#000000"/>
                <w:sz w:val="24"/>
                <w:szCs w:val="24"/>
              </w:rPr>
              <w:t> 2. Характеристика личного страхования.</w:t>
            </w:r>
          </w:p>
          <w:p>
            <w:pPr>
              <w:jc w:val="left"/>
              <w:spacing w:after="0" w:line="240" w:lineRule="auto"/>
              <w:rPr>
                <w:sz w:val="24"/>
                <w:szCs w:val="24"/>
              </w:rPr>
            </w:pPr>
            <w:r>
              <w:rPr>
                <w:rFonts w:ascii="Times New Roman" w:hAnsi="Times New Roman" w:cs="Times New Roman"/>
                <w:color w:val="#000000"/>
                <w:sz w:val="24"/>
                <w:szCs w:val="24"/>
              </w:rPr>
              <w:t> 3. Медицинское страхование населения.</w:t>
            </w:r>
          </w:p>
          <w:p>
            <w:pPr>
              <w:jc w:val="left"/>
              <w:spacing w:after="0" w:line="240" w:lineRule="auto"/>
              <w:rPr>
                <w:sz w:val="24"/>
                <w:szCs w:val="24"/>
              </w:rPr>
            </w:pPr>
            <w:r>
              <w:rPr>
                <w:rFonts w:ascii="Times New Roman" w:hAnsi="Times New Roman" w:cs="Times New Roman"/>
                <w:color w:val="#000000"/>
                <w:sz w:val="24"/>
                <w:szCs w:val="24"/>
              </w:rPr>
              <w:t> 4. Страхование автогражданской ответственности.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https://urait.ru/bcode/457182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https://urait.ru/bcode/450069</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2024-2025_ФГОС3++2024_Бак-ЗФО-Ф(Ф)(24)_plx_Экономическая культура и финансовая грамотность</dc:title>
  <dc:creator>FastReport.NET</dc:creator>
</cp:coreProperties>
</file>